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4B9B6" w14:textId="24F5241F" w:rsidR="005D7461" w:rsidRDefault="005D7461">
      <w:pPr>
        <w:spacing w:before="100" w:after="100" w:line="240" w:lineRule="auto"/>
        <w:rPr>
          <w:rFonts w:ascii="Segoe UI" w:eastAsia="Times New Roman" w:hAnsi="Segoe UI" w:cs="Segoe UI"/>
          <w:b/>
          <w:bCs/>
          <w:color w:val="0E2841"/>
          <w:kern w:val="0"/>
          <w:sz w:val="20"/>
          <w:szCs w:val="20"/>
          <w:lang w:eastAsia="en-GB"/>
        </w:rPr>
      </w:pPr>
      <w:r>
        <w:rPr>
          <w:rFonts w:ascii="Segoe UI" w:eastAsia="Times New Roman" w:hAnsi="Segoe UI" w:cs="Segoe UI"/>
          <w:b/>
          <w:bCs/>
          <w:color w:val="0E2841"/>
          <w:kern w:val="0"/>
          <w:sz w:val="20"/>
          <w:szCs w:val="20"/>
          <w:lang w:eastAsia="en-GB"/>
        </w:rPr>
        <w:t>Community Pharmacy Somerset Newsletter -23</w:t>
      </w:r>
      <w:r w:rsidRPr="005D7461">
        <w:rPr>
          <w:rFonts w:ascii="Segoe UI" w:eastAsia="Times New Roman" w:hAnsi="Segoe UI" w:cs="Segoe UI"/>
          <w:b/>
          <w:bCs/>
          <w:color w:val="0E2841"/>
          <w:kern w:val="0"/>
          <w:sz w:val="20"/>
          <w:szCs w:val="20"/>
          <w:vertAlign w:val="superscript"/>
          <w:lang w:eastAsia="en-GB"/>
        </w:rPr>
        <w:t>rd</w:t>
      </w:r>
      <w:r>
        <w:rPr>
          <w:rFonts w:ascii="Segoe UI" w:eastAsia="Times New Roman" w:hAnsi="Segoe UI" w:cs="Segoe UI"/>
          <w:b/>
          <w:bCs/>
          <w:color w:val="0E2841"/>
          <w:kern w:val="0"/>
          <w:sz w:val="20"/>
          <w:szCs w:val="20"/>
          <w:lang w:eastAsia="en-GB"/>
        </w:rPr>
        <w:t xml:space="preserve"> April 2026</w:t>
      </w:r>
    </w:p>
    <w:p w14:paraId="62CD4EBE" w14:textId="652E3BB0" w:rsidR="00C93075" w:rsidRDefault="00F90498">
      <w:pPr>
        <w:spacing w:before="100" w:after="100" w:line="240" w:lineRule="auto"/>
      </w:pPr>
      <w:r>
        <w:rPr>
          <w:rFonts w:ascii="Segoe UI" w:eastAsia="Times New Roman" w:hAnsi="Segoe UI" w:cs="Segoe UI"/>
          <w:b/>
          <w:bCs/>
          <w:color w:val="0E2841"/>
          <w:kern w:val="0"/>
          <w:sz w:val="20"/>
          <w:szCs w:val="20"/>
          <w:lang w:eastAsia="en-GB"/>
        </w:rPr>
        <w:t>EPS Nominations – Patient Consent Required</w:t>
      </w:r>
      <w:r>
        <w:rPr>
          <w:rFonts w:ascii="Segoe UI" w:eastAsia="Times New Roman" w:hAnsi="Segoe UI" w:cs="Segoe UI"/>
          <w:b/>
          <w:bCs/>
          <w:color w:val="0E2841"/>
          <w:kern w:val="0"/>
          <w:sz w:val="22"/>
          <w:szCs w:val="22"/>
          <w:lang w:eastAsia="en-GB"/>
        </w:rPr>
        <w:t xml:space="preserve">                                      </w:t>
      </w:r>
      <w:r>
        <w:rPr>
          <w:rFonts w:ascii="Segoe UI" w:eastAsia="Times New Roman" w:hAnsi="Segoe UI" w:cs="Segoe UI"/>
          <w:b/>
          <w:bCs/>
          <w:noProof/>
          <w:color w:val="0E2841"/>
          <w:kern w:val="0"/>
          <w:sz w:val="22"/>
          <w:szCs w:val="22"/>
          <w:lang w:eastAsia="en-GB"/>
        </w:rPr>
        <w:drawing>
          <wp:inline distT="0" distB="0" distL="0" distR="0" wp14:anchorId="62CD4EBE" wp14:editId="62CD4EBF">
            <wp:extent cx="1057787" cy="330656"/>
            <wp:effectExtent l="0" t="0" r="9013" b="0"/>
            <wp:docPr id="52596381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057787" cy="330656"/>
                    </a:xfrm>
                    <a:prstGeom prst="rect">
                      <a:avLst/>
                    </a:prstGeom>
                    <a:noFill/>
                    <a:ln>
                      <a:noFill/>
                      <a:prstDash/>
                    </a:ln>
                  </pic:spPr>
                </pic:pic>
              </a:graphicData>
            </a:graphic>
          </wp:inline>
        </w:drawing>
      </w:r>
    </w:p>
    <w:p w14:paraId="62CD4EBF" w14:textId="77777777" w:rsidR="00C93075" w:rsidRDefault="00F90498">
      <w:pPr>
        <w:spacing w:before="100" w:after="100" w:line="240" w:lineRule="auto"/>
      </w:pPr>
      <w:r>
        <w:rPr>
          <w:rFonts w:ascii="Segoe UI" w:eastAsia="Times New Roman" w:hAnsi="Segoe UI" w:cs="Segoe UI"/>
          <w:kern w:val="0"/>
          <w:sz w:val="20"/>
          <w:szCs w:val="20"/>
          <w:lang w:eastAsia="en-GB"/>
        </w:rPr>
        <w:t xml:space="preserve">We continue to receive reports of EPS nominations being set or changed </w:t>
      </w:r>
      <w:r>
        <w:rPr>
          <w:rFonts w:ascii="Segoe UI" w:eastAsia="Times New Roman" w:hAnsi="Segoe UI" w:cs="Segoe UI"/>
          <w:b/>
          <w:bCs/>
          <w:kern w:val="0"/>
          <w:sz w:val="20"/>
          <w:szCs w:val="20"/>
          <w:lang w:eastAsia="en-GB"/>
        </w:rPr>
        <w:t>without patient consent</w:t>
      </w:r>
      <w:r>
        <w:rPr>
          <w:rFonts w:ascii="Segoe UI" w:eastAsia="Times New Roman" w:hAnsi="Segoe UI" w:cs="Segoe UI"/>
          <w:kern w:val="0"/>
          <w:sz w:val="20"/>
          <w:szCs w:val="20"/>
          <w:lang w:eastAsia="en-GB"/>
        </w:rPr>
        <w:t>.</w:t>
      </w:r>
    </w:p>
    <w:p w14:paraId="62CD4EC0" w14:textId="77777777" w:rsidR="00C93075" w:rsidRDefault="00F90498">
      <w:pPr>
        <w:spacing w:before="100" w:after="100" w:line="240" w:lineRule="auto"/>
      </w:pPr>
      <w:r>
        <w:rPr>
          <w:rFonts w:ascii="Segoe UI" w:eastAsia="Times New Roman" w:hAnsi="Segoe UI" w:cs="Segoe UI"/>
          <w:kern w:val="0"/>
          <w:sz w:val="20"/>
          <w:szCs w:val="20"/>
          <w:lang w:eastAsia="en-GB"/>
        </w:rPr>
        <w:t>Please ensure:</w:t>
      </w:r>
      <w:r>
        <w:rPr>
          <w:rFonts w:ascii="Segoe UI" w:eastAsia="Times New Roman" w:hAnsi="Segoe UI" w:cs="Segoe UI"/>
          <w:kern w:val="0"/>
          <w:sz w:val="20"/>
          <w:szCs w:val="20"/>
          <w:lang w:eastAsia="en-GB"/>
        </w:rPr>
        <w:br/>
        <w:t xml:space="preserve">• Consent is obtained </w:t>
      </w:r>
      <w:r>
        <w:rPr>
          <w:rFonts w:ascii="Segoe UI" w:eastAsia="Times New Roman" w:hAnsi="Segoe UI" w:cs="Segoe UI"/>
          <w:b/>
          <w:bCs/>
          <w:kern w:val="0"/>
          <w:sz w:val="20"/>
          <w:szCs w:val="20"/>
          <w:lang w:eastAsia="en-GB"/>
        </w:rPr>
        <w:t>before</w:t>
      </w:r>
      <w:r>
        <w:rPr>
          <w:rFonts w:ascii="Segoe UI" w:eastAsia="Times New Roman" w:hAnsi="Segoe UI" w:cs="Segoe UI"/>
          <w:kern w:val="0"/>
          <w:sz w:val="20"/>
          <w:szCs w:val="20"/>
          <w:lang w:eastAsia="en-GB"/>
        </w:rPr>
        <w:t xml:space="preserve"> setting/changing nominations</w:t>
      </w:r>
      <w:r>
        <w:rPr>
          <w:rFonts w:ascii="Segoe UI" w:eastAsia="Times New Roman" w:hAnsi="Segoe UI" w:cs="Segoe UI"/>
          <w:kern w:val="0"/>
          <w:sz w:val="20"/>
          <w:szCs w:val="20"/>
          <w:lang w:eastAsia="en-GB"/>
        </w:rPr>
        <w:br/>
        <w:t>• Consent is recorded in PMR notes</w:t>
      </w:r>
      <w:r>
        <w:rPr>
          <w:rFonts w:ascii="Segoe UI" w:eastAsia="Times New Roman" w:hAnsi="Segoe UI" w:cs="Segoe UI"/>
          <w:kern w:val="0"/>
          <w:sz w:val="20"/>
          <w:szCs w:val="20"/>
          <w:lang w:eastAsia="en-GB"/>
        </w:rPr>
        <w:br/>
        <w:t xml:space="preserve">• Prescriptions received in error are </w:t>
      </w:r>
      <w:r>
        <w:rPr>
          <w:rFonts w:ascii="Segoe UI" w:eastAsia="Times New Roman" w:hAnsi="Segoe UI" w:cs="Segoe UI"/>
          <w:b/>
          <w:bCs/>
          <w:kern w:val="0"/>
          <w:sz w:val="20"/>
          <w:szCs w:val="20"/>
          <w:lang w:eastAsia="en-GB"/>
        </w:rPr>
        <w:t>returned to the Spine</w:t>
      </w:r>
      <w:r>
        <w:rPr>
          <w:rFonts w:ascii="Segoe UI" w:eastAsia="Times New Roman" w:hAnsi="Segoe UI" w:cs="Segoe UI"/>
          <w:kern w:val="0"/>
          <w:sz w:val="20"/>
          <w:szCs w:val="20"/>
          <w:lang w:eastAsia="en-GB"/>
        </w:rPr>
        <w:t xml:space="preserve"> when requested – even if already dispensed</w:t>
      </w:r>
    </w:p>
    <w:p w14:paraId="62CD4EC1" w14:textId="77777777" w:rsidR="00C93075" w:rsidRDefault="00C93075">
      <w:pPr>
        <w:spacing w:before="100" w:after="100" w:line="240" w:lineRule="auto"/>
        <w:rPr>
          <w:sz w:val="20"/>
          <w:szCs w:val="20"/>
        </w:rPr>
      </w:pPr>
    </w:p>
    <w:p w14:paraId="62CD4EC2" w14:textId="77777777" w:rsidR="00C93075" w:rsidRDefault="00F90498">
      <w:pPr>
        <w:pBdr>
          <w:top w:val="single" w:sz="48" w:space="1" w:color="4C94D8"/>
          <w:left w:val="single" w:sz="48" w:space="4" w:color="4C94D8"/>
          <w:bottom w:val="single" w:sz="48" w:space="1" w:color="4C94D8"/>
          <w:right w:val="single" w:sz="48" w:space="4" w:color="4C94D8"/>
        </w:pBdr>
        <w:spacing w:before="100" w:after="100" w:line="240" w:lineRule="auto"/>
      </w:pPr>
      <w:r>
        <w:rPr>
          <w:rFonts w:ascii="Segoe UI Emoji" w:eastAsia="Times New Roman" w:hAnsi="Segoe UI Emoji" w:cs="Segoe UI Emoji"/>
          <w:b/>
          <w:bCs/>
          <w:kern w:val="0"/>
          <w:sz w:val="20"/>
          <w:szCs w:val="20"/>
          <w:lang w:eastAsia="en-GB"/>
        </w:rPr>
        <w:t>🔹</w:t>
      </w:r>
      <w:r>
        <w:rPr>
          <w:rFonts w:ascii="Segoe UI" w:eastAsia="Times New Roman" w:hAnsi="Segoe UI" w:cs="Segoe UI"/>
          <w:b/>
          <w:bCs/>
          <w:kern w:val="0"/>
          <w:sz w:val="20"/>
          <w:szCs w:val="20"/>
          <w:lang w:eastAsia="en-GB"/>
        </w:rPr>
        <w:t xml:space="preserve"> </w:t>
      </w:r>
      <w:r>
        <w:rPr>
          <w:rFonts w:ascii="Segoe UI" w:eastAsia="Times New Roman" w:hAnsi="Segoe UI" w:cs="Segoe UI"/>
          <w:b/>
          <w:bCs/>
          <w:color w:val="0E2841"/>
          <w:kern w:val="0"/>
          <w:sz w:val="20"/>
          <w:szCs w:val="20"/>
          <w:lang w:eastAsia="en-GB"/>
        </w:rPr>
        <w:t>EPS Claims – Important Reminder</w:t>
      </w:r>
    </w:p>
    <w:p w14:paraId="62CD4EC3" w14:textId="77777777" w:rsidR="00C93075" w:rsidRDefault="00F90498">
      <w:pPr>
        <w:pBdr>
          <w:top w:val="single" w:sz="48" w:space="1" w:color="4C94D8"/>
          <w:left w:val="single" w:sz="48" w:space="4" w:color="4C94D8"/>
          <w:bottom w:val="single" w:sz="48" w:space="1" w:color="4C94D8"/>
          <w:right w:val="single" w:sz="48" w:space="4" w:color="4C94D8"/>
        </w:pBdr>
        <w:spacing w:before="100" w:after="100" w:line="240" w:lineRule="auto"/>
      </w:pPr>
      <w:r>
        <w:rPr>
          <w:rFonts w:ascii="Segoe UI" w:eastAsia="Times New Roman" w:hAnsi="Segoe UI" w:cs="Segoe UI"/>
          <w:kern w:val="0"/>
          <w:sz w:val="20"/>
          <w:szCs w:val="20"/>
          <w:lang w:eastAsia="en-GB"/>
        </w:rPr>
        <w:t xml:space="preserve">Do </w:t>
      </w:r>
      <w:r>
        <w:rPr>
          <w:rFonts w:ascii="Segoe UI" w:eastAsia="Times New Roman" w:hAnsi="Segoe UI" w:cs="Segoe UI"/>
          <w:b/>
          <w:bCs/>
          <w:kern w:val="0"/>
          <w:sz w:val="20"/>
          <w:szCs w:val="20"/>
          <w:lang w:eastAsia="en-GB"/>
        </w:rPr>
        <w:t>not</w:t>
      </w:r>
      <w:r>
        <w:rPr>
          <w:rFonts w:ascii="Segoe UI" w:eastAsia="Times New Roman" w:hAnsi="Segoe UI" w:cs="Segoe UI"/>
          <w:kern w:val="0"/>
          <w:sz w:val="20"/>
          <w:szCs w:val="20"/>
          <w:lang w:eastAsia="en-GB"/>
        </w:rPr>
        <w:t xml:space="preserve"> claim EPS prescriptions until items have been </w:t>
      </w:r>
      <w:r>
        <w:rPr>
          <w:rFonts w:ascii="Segoe UI" w:eastAsia="Times New Roman" w:hAnsi="Segoe UI" w:cs="Segoe UI"/>
          <w:b/>
          <w:bCs/>
          <w:kern w:val="0"/>
          <w:sz w:val="20"/>
          <w:szCs w:val="20"/>
          <w:lang w:eastAsia="en-GB"/>
        </w:rPr>
        <w:t>collected by the patient or their representative</w:t>
      </w:r>
      <w:r>
        <w:rPr>
          <w:rFonts w:ascii="Segoe UI" w:eastAsia="Times New Roman" w:hAnsi="Segoe UI" w:cs="Segoe UI"/>
          <w:kern w:val="0"/>
          <w:sz w:val="20"/>
          <w:szCs w:val="20"/>
          <w:lang w:eastAsia="en-GB"/>
        </w:rPr>
        <w:t>.</w:t>
      </w:r>
    </w:p>
    <w:p w14:paraId="62CD4EC4" w14:textId="77777777" w:rsidR="00C93075" w:rsidRDefault="00F90498">
      <w:pPr>
        <w:pBdr>
          <w:top w:val="single" w:sz="48" w:space="1" w:color="4C94D8"/>
          <w:left w:val="single" w:sz="48" w:space="4" w:color="4C94D8"/>
          <w:bottom w:val="single" w:sz="48" w:space="1" w:color="4C94D8"/>
          <w:right w:val="single" w:sz="48" w:space="4" w:color="4C94D8"/>
        </w:pBdr>
        <w:spacing w:before="100" w:after="100" w:line="240" w:lineRule="auto"/>
      </w:pPr>
      <w:r>
        <w:rPr>
          <w:rFonts w:ascii="Segoe UI" w:eastAsia="Times New Roman" w:hAnsi="Segoe UI" w:cs="Segoe UI"/>
          <w:kern w:val="0"/>
          <w:sz w:val="20"/>
          <w:szCs w:val="20"/>
          <w:lang w:eastAsia="en-GB"/>
        </w:rPr>
        <w:t xml:space="preserve">Early claiming is considered </w:t>
      </w:r>
      <w:r>
        <w:rPr>
          <w:rFonts w:ascii="Segoe UI" w:eastAsia="Times New Roman" w:hAnsi="Segoe UI" w:cs="Segoe UI"/>
          <w:b/>
          <w:bCs/>
          <w:kern w:val="0"/>
          <w:sz w:val="20"/>
          <w:szCs w:val="20"/>
          <w:lang w:eastAsia="en-GB"/>
        </w:rPr>
        <w:t>fraudulent practice</w:t>
      </w:r>
      <w:r>
        <w:rPr>
          <w:rFonts w:ascii="Segoe UI" w:eastAsia="Times New Roman" w:hAnsi="Segoe UI" w:cs="Segoe UI"/>
          <w:kern w:val="0"/>
          <w:sz w:val="20"/>
          <w:szCs w:val="20"/>
          <w:lang w:eastAsia="en-GB"/>
        </w:rPr>
        <w:t>.</w:t>
      </w:r>
    </w:p>
    <w:p w14:paraId="62CD4EC5" w14:textId="77777777" w:rsidR="00C93075" w:rsidRDefault="00F90498">
      <w:pPr>
        <w:pBdr>
          <w:top w:val="single" w:sz="48" w:space="1" w:color="4C94D8"/>
          <w:left w:val="single" w:sz="48" w:space="4" w:color="4C94D8"/>
          <w:bottom w:val="single" w:sz="48" w:space="1" w:color="4C94D8"/>
          <w:right w:val="single" w:sz="48" w:space="4" w:color="4C94D8"/>
        </w:pBdr>
        <w:spacing w:before="100" w:after="100" w:line="240" w:lineRule="auto"/>
        <w:rPr>
          <w:rFonts w:ascii="Segoe UI" w:eastAsia="Times New Roman" w:hAnsi="Segoe UI" w:cs="Segoe UI"/>
          <w:kern w:val="0"/>
          <w:sz w:val="20"/>
          <w:szCs w:val="20"/>
          <w:lang w:eastAsia="en-GB"/>
        </w:rPr>
      </w:pPr>
      <w:r>
        <w:rPr>
          <w:rFonts w:ascii="Segoe UI" w:eastAsia="Times New Roman" w:hAnsi="Segoe UI" w:cs="Segoe UI"/>
          <w:kern w:val="0"/>
          <w:sz w:val="20"/>
          <w:szCs w:val="20"/>
          <w:lang w:eastAsia="en-GB"/>
        </w:rPr>
        <w:t>Please check all staff follow this process.</w:t>
      </w:r>
    </w:p>
    <w:p w14:paraId="62CD4EC6" w14:textId="77777777" w:rsidR="00C93075" w:rsidRDefault="00C93075">
      <w:pPr>
        <w:spacing w:before="100" w:after="100" w:line="240" w:lineRule="auto"/>
        <w:rPr>
          <w:rFonts w:ascii="Segoe UI Emoji" w:eastAsia="Times New Roman" w:hAnsi="Segoe UI Emoji" w:cs="Segoe UI Emoji"/>
          <w:b/>
          <w:bCs/>
          <w:kern w:val="0"/>
          <w:sz w:val="20"/>
          <w:szCs w:val="20"/>
          <w:lang w:eastAsia="en-GB"/>
        </w:rPr>
      </w:pPr>
    </w:p>
    <w:tbl>
      <w:tblPr>
        <w:tblStyle w:val="TableGrid"/>
        <w:tblW w:w="0" w:type="auto"/>
        <w:tblLook w:val="04A0" w:firstRow="1" w:lastRow="0" w:firstColumn="1" w:lastColumn="0" w:noHBand="0" w:noVBand="1"/>
      </w:tblPr>
      <w:tblGrid>
        <w:gridCol w:w="9016"/>
      </w:tblGrid>
      <w:tr w:rsidR="00E74789" w:rsidRPr="00E74789" w14:paraId="6F152FC1" w14:textId="77777777">
        <w:tc>
          <w:tcPr>
            <w:tcW w:w="9016" w:type="dxa"/>
          </w:tcPr>
          <w:p w14:paraId="04093A77" w14:textId="77777777" w:rsidR="00E74789" w:rsidRDefault="00E74789" w:rsidP="00C7391A">
            <w:pPr>
              <w:spacing w:before="100" w:after="100"/>
              <w:rPr>
                <w:rFonts w:ascii="Segoe UI" w:eastAsia="Times New Roman" w:hAnsi="Segoe UI" w:cs="Segoe UI"/>
                <w:b/>
                <w:bCs/>
                <w:color w:val="0E2841"/>
                <w:kern w:val="0"/>
                <w:sz w:val="20"/>
                <w:szCs w:val="20"/>
                <w:lang w:eastAsia="en-GB"/>
              </w:rPr>
            </w:pPr>
          </w:p>
          <w:p w14:paraId="584BCD70" w14:textId="6E228268" w:rsidR="00E74789" w:rsidRPr="00CF3A5B" w:rsidRDefault="00E74789" w:rsidP="00C7391A">
            <w:pPr>
              <w:spacing w:before="100" w:after="100"/>
              <w:rPr>
                <w:rFonts w:ascii="Segoe UI" w:hAnsi="Segoe UI" w:cs="Segoe UI"/>
                <w:b/>
                <w:bCs/>
                <w:sz w:val="20"/>
                <w:szCs w:val="20"/>
              </w:rPr>
            </w:pPr>
            <w:r w:rsidRPr="00CF3A5B">
              <w:rPr>
                <w:rFonts w:ascii="Segoe UI" w:hAnsi="Segoe UI" w:cs="Segoe UI"/>
                <w:b/>
                <w:bCs/>
                <w:sz w:val="20"/>
                <w:szCs w:val="20"/>
              </w:rPr>
              <w:t>COVID/FLU Training Requirements</w:t>
            </w:r>
          </w:p>
        </w:tc>
      </w:tr>
    </w:tbl>
    <w:p w14:paraId="4776362C" w14:textId="77777777" w:rsidR="00B340D2" w:rsidRPr="00CF3A5B" w:rsidRDefault="00B340D2" w:rsidP="00B340D2">
      <w:pPr>
        <w:spacing w:before="100" w:after="100" w:line="240" w:lineRule="auto"/>
        <w:rPr>
          <w:rFonts w:ascii="Segoe UI" w:hAnsi="Segoe UI" w:cs="Segoe UI"/>
          <w:sz w:val="20"/>
          <w:szCs w:val="20"/>
        </w:rPr>
      </w:pPr>
      <w:r w:rsidRPr="00CF3A5B">
        <w:rPr>
          <w:rFonts w:ascii="Segoe UI" w:hAnsi="Segoe UI" w:cs="Segoe UI"/>
          <w:sz w:val="20"/>
          <w:szCs w:val="20"/>
        </w:rPr>
        <w:t>Training requirements and resources</w:t>
      </w:r>
    </w:p>
    <w:p w14:paraId="1D090AF5" w14:textId="77777777" w:rsidR="00B340D2" w:rsidRPr="00CF3A5B" w:rsidRDefault="00B340D2" w:rsidP="00B340D2">
      <w:pPr>
        <w:spacing w:before="100" w:after="100" w:line="240" w:lineRule="auto"/>
        <w:rPr>
          <w:rFonts w:ascii="Segoe UI" w:hAnsi="Segoe UI" w:cs="Segoe UI"/>
          <w:sz w:val="20"/>
          <w:szCs w:val="20"/>
        </w:rPr>
      </w:pPr>
      <w:r w:rsidRPr="00CF3A5B">
        <w:rPr>
          <w:rFonts w:ascii="Segoe UI" w:hAnsi="Segoe UI" w:cs="Segoe UI"/>
          <w:sz w:val="20"/>
          <w:szCs w:val="20"/>
        </w:rPr>
        <w:t xml:space="preserve">Staff providing the service and administering vaccines will need to be authorised to operate under the appropriate legal framework. That means the service will generally be provided by </w:t>
      </w:r>
      <w:r w:rsidRPr="00CF3A5B">
        <w:rPr>
          <w:rFonts w:ascii="Segoe UI" w:hAnsi="Segoe UI" w:cs="Segoe UI"/>
          <w:b/>
          <w:bCs/>
          <w:sz w:val="20"/>
          <w:szCs w:val="20"/>
        </w:rPr>
        <w:t>pharmacists and pharmacy technicians</w:t>
      </w:r>
      <w:r w:rsidRPr="00CF3A5B">
        <w:rPr>
          <w:rFonts w:ascii="Segoe UI" w:hAnsi="Segoe UI" w:cs="Segoe UI"/>
          <w:sz w:val="20"/>
          <w:szCs w:val="20"/>
        </w:rPr>
        <w:t xml:space="preserve"> within community pharmacies, but other registered healthcare professionals/staff able to operate under the appropriate legal mechanism (PGD / VGD) may also administer vaccines.</w:t>
      </w:r>
    </w:p>
    <w:p w14:paraId="7EF60BBA" w14:textId="77777777" w:rsidR="00B340D2" w:rsidRPr="00CF3A5B" w:rsidRDefault="00B340D2" w:rsidP="00B340D2">
      <w:pPr>
        <w:spacing w:before="100" w:after="100" w:line="240" w:lineRule="auto"/>
        <w:rPr>
          <w:rFonts w:ascii="Segoe UI" w:hAnsi="Segoe UI" w:cs="Segoe UI"/>
          <w:sz w:val="20"/>
          <w:szCs w:val="20"/>
        </w:rPr>
      </w:pPr>
      <w:r w:rsidRPr="00CF3A5B">
        <w:rPr>
          <w:rFonts w:ascii="Segoe UI" w:hAnsi="Segoe UI" w:cs="Segoe UI"/>
          <w:sz w:val="20"/>
          <w:szCs w:val="20"/>
        </w:rPr>
        <w:t>Any pharmacy staff involved in the provision of the service should receive appropriate training relevant to the role they will undertake.</w:t>
      </w:r>
    </w:p>
    <w:p w14:paraId="402CDDA6" w14:textId="77777777" w:rsidR="00B340D2" w:rsidRPr="00CF3A5B" w:rsidRDefault="00B340D2" w:rsidP="00B340D2">
      <w:pPr>
        <w:spacing w:before="100" w:after="100" w:line="240" w:lineRule="auto"/>
        <w:rPr>
          <w:rFonts w:ascii="Segoe UI" w:hAnsi="Segoe UI" w:cs="Segoe UI"/>
          <w:sz w:val="20"/>
          <w:szCs w:val="20"/>
        </w:rPr>
      </w:pPr>
      <w:r w:rsidRPr="00CF3A5B">
        <w:rPr>
          <w:rFonts w:ascii="Segoe UI" w:hAnsi="Segoe UI" w:cs="Segoe UI"/>
          <w:sz w:val="20"/>
          <w:szCs w:val="20"/>
        </w:rPr>
        <w:t>Vaccinators must complete the specific modules on </w:t>
      </w:r>
      <w:hyperlink r:id="rId8" w:tgtFrame="_blank" w:history="1">
        <w:r w:rsidRPr="00CF3A5B">
          <w:rPr>
            <w:rStyle w:val="Hyperlink"/>
            <w:rFonts w:ascii="Segoe UI" w:hAnsi="Segoe UI" w:cs="Segoe UI"/>
            <w:b/>
            <w:bCs/>
            <w:sz w:val="20"/>
            <w:szCs w:val="20"/>
          </w:rPr>
          <w:t>COVID-19 vaccinations</w:t>
        </w:r>
      </w:hyperlink>
      <w:r w:rsidRPr="00CF3A5B">
        <w:rPr>
          <w:rFonts w:ascii="Segoe UI" w:hAnsi="Segoe UI" w:cs="Segoe UI"/>
          <w:sz w:val="20"/>
          <w:szCs w:val="20"/>
        </w:rPr>
        <w:t> and </w:t>
      </w:r>
      <w:hyperlink r:id="rId9" w:tgtFrame="_blank" w:history="1">
        <w:r w:rsidRPr="00CF3A5B">
          <w:rPr>
            <w:rStyle w:val="Hyperlink"/>
            <w:rFonts w:ascii="Segoe UI" w:hAnsi="Segoe UI" w:cs="Segoe UI"/>
            <w:b/>
            <w:bCs/>
            <w:sz w:val="20"/>
            <w:szCs w:val="20"/>
          </w:rPr>
          <w:t>influenza vaccinations</w:t>
        </w:r>
      </w:hyperlink>
      <w:r w:rsidRPr="00CF3A5B">
        <w:rPr>
          <w:rFonts w:ascii="Segoe UI" w:hAnsi="Segoe UI" w:cs="Segoe UI"/>
          <w:sz w:val="20"/>
          <w:szCs w:val="20"/>
        </w:rPr>
        <w:t> which are available on the e-learning for healthcare website, where </w:t>
      </w:r>
      <w:hyperlink r:id="rId10" w:tgtFrame="_blank" w:history="1">
        <w:r w:rsidRPr="00CF3A5B">
          <w:rPr>
            <w:rStyle w:val="Hyperlink"/>
            <w:rFonts w:ascii="Segoe UI" w:hAnsi="Segoe UI" w:cs="Segoe UI"/>
            <w:b/>
            <w:bCs/>
            <w:sz w:val="20"/>
            <w:szCs w:val="20"/>
          </w:rPr>
          <w:t>general immunisation training modules</w:t>
        </w:r>
      </w:hyperlink>
      <w:r w:rsidRPr="00CF3A5B">
        <w:rPr>
          <w:rFonts w:ascii="Segoe UI" w:hAnsi="Segoe UI" w:cs="Segoe UI"/>
          <w:sz w:val="20"/>
          <w:szCs w:val="20"/>
        </w:rPr>
        <w:t> can also be accessed.</w:t>
      </w:r>
    </w:p>
    <w:p w14:paraId="1440058B" w14:textId="77777777" w:rsidR="00B340D2" w:rsidRPr="00CF3A5B" w:rsidRDefault="00B340D2" w:rsidP="00B340D2">
      <w:pPr>
        <w:spacing w:before="100" w:after="100" w:line="240" w:lineRule="auto"/>
        <w:rPr>
          <w:rFonts w:ascii="Segoe UI" w:hAnsi="Segoe UI" w:cs="Segoe UI"/>
          <w:b/>
          <w:bCs/>
          <w:sz w:val="20"/>
          <w:szCs w:val="20"/>
        </w:rPr>
      </w:pPr>
      <w:r w:rsidRPr="00CF3A5B">
        <w:rPr>
          <w:rFonts w:ascii="Segoe UI" w:hAnsi="Segoe UI" w:cs="Segoe UI"/>
          <w:b/>
          <w:bCs/>
          <w:sz w:val="20"/>
          <w:szCs w:val="20"/>
        </w:rPr>
        <w:t>Pharmacy owners are required to demonstrate that all staff providing the service in their pharmacy have the skills and knowledge needed to do so. This includes working within the relevant systems and processes set out by the pharmacy owner and understanding how to report concerns, should any be identified.</w:t>
      </w:r>
    </w:p>
    <w:p w14:paraId="62CD4ED0" w14:textId="30AB69DB" w:rsidR="00C93075" w:rsidRPr="00CF3A5B" w:rsidRDefault="00C93075">
      <w:pPr>
        <w:spacing w:before="100" w:after="100" w:line="240" w:lineRule="auto"/>
        <w:rPr>
          <w:rFonts w:ascii="Segoe UI" w:hAnsi="Segoe UI" w:cs="Segoe UI"/>
          <w:sz w:val="20"/>
          <w:szCs w:val="20"/>
        </w:rPr>
      </w:pPr>
    </w:p>
    <w:p w14:paraId="62CD4ED2" w14:textId="77777777" w:rsidR="00C93075" w:rsidRDefault="00C93075">
      <w:pPr>
        <w:spacing w:before="100" w:after="100" w:line="240" w:lineRule="auto"/>
      </w:pPr>
    </w:p>
    <w:p w14:paraId="62CD4ED5" w14:textId="038FD910" w:rsidR="00C93075" w:rsidRDefault="00B340D2" w:rsidP="00E74789">
      <w:pPr>
        <w:pBdr>
          <w:top w:val="single" w:sz="48" w:space="1" w:color="4C94D8"/>
          <w:left w:val="single" w:sz="48" w:space="0" w:color="4C94D8"/>
          <w:bottom w:val="single" w:sz="48" w:space="1" w:color="4C94D8"/>
          <w:right w:val="single" w:sz="48" w:space="4" w:color="4C94D8"/>
        </w:pBdr>
        <w:spacing w:after="0" w:line="240" w:lineRule="auto"/>
        <w:rPr>
          <w:rFonts w:ascii="Segoe UI Emoji" w:eastAsia="Times New Roman" w:hAnsi="Segoe UI Emoji" w:cs="Segoe UI Emoji"/>
          <w:b/>
          <w:bCs/>
          <w:color w:val="0E2841"/>
          <w:kern w:val="0"/>
          <w:sz w:val="22"/>
          <w:szCs w:val="22"/>
          <w:lang w:eastAsia="en-GB"/>
        </w:rPr>
      </w:pPr>
      <w:r>
        <w:rPr>
          <w:rFonts w:ascii="Segoe UI Emoji" w:eastAsia="Times New Roman" w:hAnsi="Segoe UI Emoji" w:cs="Segoe UI Emoji"/>
          <w:b/>
          <w:bCs/>
          <w:color w:val="0E2841"/>
          <w:kern w:val="0"/>
          <w:sz w:val="22"/>
          <w:szCs w:val="22"/>
          <w:lang w:eastAsia="en-GB"/>
        </w:rPr>
        <w:t>Turning Point Services NEO360</w:t>
      </w:r>
      <w:r w:rsidR="00E74789">
        <w:rPr>
          <w:rFonts w:ascii="Segoe UI Emoji" w:eastAsia="Times New Roman" w:hAnsi="Segoe UI Emoji" w:cs="Segoe UI Emoji"/>
          <w:b/>
          <w:bCs/>
          <w:color w:val="0E2841"/>
          <w:kern w:val="0"/>
          <w:sz w:val="22"/>
          <w:szCs w:val="22"/>
          <w:lang w:eastAsia="en-GB"/>
        </w:rPr>
        <w:t>.</w:t>
      </w:r>
    </w:p>
    <w:p w14:paraId="01D941C1" w14:textId="37200629" w:rsidR="00B340D2" w:rsidRDefault="00B340D2" w:rsidP="00FE630D">
      <w:pPr>
        <w:spacing w:line="240" w:lineRule="auto"/>
        <w:rPr>
          <w:rFonts w:ascii="Segoe UI" w:hAnsi="Segoe UI" w:cs="Segoe UI"/>
          <w:color w:val="0E2841"/>
          <w:sz w:val="20"/>
          <w:szCs w:val="20"/>
        </w:rPr>
      </w:pPr>
      <w:r>
        <w:rPr>
          <w:rFonts w:ascii="Segoe UI" w:hAnsi="Segoe UI" w:cs="Segoe UI"/>
          <w:color w:val="0E2841"/>
          <w:sz w:val="20"/>
          <w:szCs w:val="20"/>
        </w:rPr>
        <w:t>All Somerset Community Pharmacies</w:t>
      </w:r>
      <w:r w:rsidR="00CF3A5B">
        <w:rPr>
          <w:rFonts w:ascii="Segoe UI" w:hAnsi="Segoe UI" w:cs="Segoe UI"/>
          <w:color w:val="0E2841"/>
          <w:sz w:val="20"/>
          <w:szCs w:val="20"/>
        </w:rPr>
        <w:t xml:space="preserve"> from 1</w:t>
      </w:r>
      <w:r w:rsidR="00CF3A5B" w:rsidRPr="00CF3A5B">
        <w:rPr>
          <w:rFonts w:ascii="Segoe UI" w:hAnsi="Segoe UI" w:cs="Segoe UI"/>
          <w:color w:val="0E2841"/>
          <w:sz w:val="20"/>
          <w:szCs w:val="20"/>
          <w:vertAlign w:val="superscript"/>
        </w:rPr>
        <w:t>st</w:t>
      </w:r>
      <w:r w:rsidR="00CF3A5B">
        <w:rPr>
          <w:rFonts w:ascii="Segoe UI" w:hAnsi="Segoe UI" w:cs="Segoe UI"/>
          <w:color w:val="0E2841"/>
          <w:sz w:val="20"/>
          <w:szCs w:val="20"/>
        </w:rPr>
        <w:t xml:space="preserve"> April 2026 must</w:t>
      </w:r>
      <w:r>
        <w:rPr>
          <w:rFonts w:ascii="Segoe UI" w:hAnsi="Segoe UI" w:cs="Segoe UI"/>
          <w:color w:val="0E2841"/>
          <w:sz w:val="20"/>
          <w:szCs w:val="20"/>
        </w:rPr>
        <w:t xml:space="preserve"> be entering and recording all Supervised Consumption clients, Needle Exchange Supplies and Take-Home Naloxone Supplies on the new system -NEO360.</w:t>
      </w:r>
    </w:p>
    <w:p w14:paraId="6C7E8144" w14:textId="1DA111E3" w:rsidR="00CF3A5B" w:rsidRPr="00CF3A5B" w:rsidRDefault="00CF3A5B" w:rsidP="00FE630D">
      <w:pPr>
        <w:spacing w:line="240" w:lineRule="auto"/>
        <w:rPr>
          <w:rFonts w:ascii="Segoe UI" w:hAnsi="Segoe UI" w:cs="Segoe UI"/>
          <w:b/>
          <w:bCs/>
          <w:color w:val="0E2841"/>
          <w:sz w:val="20"/>
          <w:szCs w:val="20"/>
        </w:rPr>
      </w:pPr>
      <w:r w:rsidRPr="00CF3A5B">
        <w:rPr>
          <w:rFonts w:ascii="Segoe UI" w:hAnsi="Segoe UI" w:cs="Segoe UI"/>
          <w:b/>
          <w:bCs/>
          <w:color w:val="0E2841"/>
          <w:sz w:val="20"/>
          <w:szCs w:val="20"/>
        </w:rPr>
        <w:lastRenderedPageBreak/>
        <w:t>Please remember that all entries</w:t>
      </w:r>
      <w:r>
        <w:rPr>
          <w:rFonts w:ascii="Segoe UI" w:hAnsi="Segoe UI" w:cs="Segoe UI"/>
          <w:b/>
          <w:bCs/>
          <w:color w:val="0E2841"/>
          <w:sz w:val="20"/>
          <w:szCs w:val="20"/>
        </w:rPr>
        <w:t>/</w:t>
      </w:r>
      <w:r w:rsidRPr="00CF3A5B">
        <w:rPr>
          <w:rFonts w:ascii="Segoe UI" w:hAnsi="Segoe UI" w:cs="Segoe UI"/>
          <w:b/>
          <w:bCs/>
          <w:color w:val="0E2841"/>
          <w:sz w:val="20"/>
          <w:szCs w:val="20"/>
        </w:rPr>
        <w:t xml:space="preserve">supplies given to </w:t>
      </w:r>
      <w:r>
        <w:rPr>
          <w:rFonts w:ascii="Segoe UI" w:hAnsi="Segoe UI" w:cs="Segoe UI"/>
          <w:b/>
          <w:bCs/>
          <w:color w:val="0E2841"/>
          <w:sz w:val="20"/>
          <w:szCs w:val="20"/>
        </w:rPr>
        <w:t>c</w:t>
      </w:r>
      <w:r w:rsidRPr="00CF3A5B">
        <w:rPr>
          <w:rFonts w:ascii="Segoe UI" w:hAnsi="Segoe UI" w:cs="Segoe UI"/>
          <w:b/>
          <w:bCs/>
          <w:color w:val="0E2841"/>
          <w:sz w:val="20"/>
          <w:szCs w:val="20"/>
        </w:rPr>
        <w:t>lients are entered by the 5</w:t>
      </w:r>
      <w:r w:rsidRPr="00CF3A5B">
        <w:rPr>
          <w:rFonts w:ascii="Segoe UI" w:hAnsi="Segoe UI" w:cs="Segoe UI"/>
          <w:b/>
          <w:bCs/>
          <w:color w:val="0E2841"/>
          <w:sz w:val="20"/>
          <w:szCs w:val="20"/>
          <w:vertAlign w:val="superscript"/>
        </w:rPr>
        <w:t>th</w:t>
      </w:r>
      <w:r w:rsidRPr="00CF3A5B">
        <w:rPr>
          <w:rFonts w:ascii="Segoe UI" w:hAnsi="Segoe UI" w:cs="Segoe UI"/>
          <w:b/>
          <w:bCs/>
          <w:color w:val="0E2841"/>
          <w:sz w:val="20"/>
          <w:szCs w:val="20"/>
        </w:rPr>
        <w:t xml:space="preserve"> of </w:t>
      </w:r>
      <w:r>
        <w:rPr>
          <w:rFonts w:ascii="Segoe UI" w:hAnsi="Segoe UI" w:cs="Segoe UI"/>
          <w:b/>
          <w:bCs/>
          <w:color w:val="0E2841"/>
          <w:sz w:val="20"/>
          <w:szCs w:val="20"/>
        </w:rPr>
        <w:t xml:space="preserve">each Month </w:t>
      </w:r>
      <w:r w:rsidRPr="00CF3A5B">
        <w:rPr>
          <w:rFonts w:ascii="Segoe UI" w:hAnsi="Segoe UI" w:cs="Segoe UI"/>
          <w:b/>
          <w:bCs/>
          <w:color w:val="0E2841"/>
          <w:sz w:val="20"/>
          <w:szCs w:val="20"/>
        </w:rPr>
        <w:t>to receive prompt payment</w:t>
      </w:r>
      <w:r>
        <w:rPr>
          <w:rFonts w:ascii="Segoe UI" w:hAnsi="Segoe UI" w:cs="Segoe UI"/>
          <w:b/>
          <w:bCs/>
          <w:color w:val="0E2841"/>
          <w:sz w:val="20"/>
          <w:szCs w:val="20"/>
        </w:rPr>
        <w:t xml:space="preserve"> by the end of the month.</w:t>
      </w:r>
      <w:r w:rsidR="00BB1EE9">
        <w:rPr>
          <w:rFonts w:ascii="Segoe UI" w:hAnsi="Segoe UI" w:cs="Segoe UI"/>
          <w:b/>
          <w:bCs/>
          <w:color w:val="0E2841"/>
          <w:sz w:val="20"/>
          <w:szCs w:val="20"/>
        </w:rPr>
        <w:t xml:space="preserve"> Entries that are submitted late will not be reimbursed.</w:t>
      </w:r>
    </w:p>
    <w:p w14:paraId="198A5111" w14:textId="4DB971D0" w:rsidR="00B340D2" w:rsidRDefault="00B340D2" w:rsidP="00FE630D">
      <w:pPr>
        <w:spacing w:line="240" w:lineRule="auto"/>
        <w:rPr>
          <w:rFonts w:ascii="Segoe UI" w:hAnsi="Segoe UI" w:cs="Segoe UI"/>
          <w:color w:val="0E2841"/>
          <w:sz w:val="20"/>
          <w:szCs w:val="20"/>
        </w:rPr>
      </w:pPr>
      <w:r>
        <w:rPr>
          <w:rFonts w:ascii="Segoe UI" w:hAnsi="Segoe UI" w:cs="Segoe UI"/>
          <w:color w:val="0E2841"/>
          <w:sz w:val="20"/>
          <w:szCs w:val="20"/>
        </w:rPr>
        <w:t xml:space="preserve">If you have any difficulty Accessing the NEO 360 platform, then please contact </w:t>
      </w:r>
      <w:hyperlink r:id="rId11" w:history="1">
        <w:r w:rsidRPr="008D300A">
          <w:rPr>
            <w:rStyle w:val="Hyperlink"/>
            <w:rFonts w:ascii="Segoe UI" w:hAnsi="Segoe UI" w:cs="Segoe UI"/>
            <w:sz w:val="20"/>
            <w:szCs w:val="20"/>
          </w:rPr>
          <w:t>Pharmacy@turning-point.co.uk</w:t>
        </w:r>
      </w:hyperlink>
      <w:r>
        <w:rPr>
          <w:rFonts w:ascii="Segoe UI" w:hAnsi="Segoe UI" w:cs="Segoe UI"/>
          <w:color w:val="0E2841"/>
          <w:sz w:val="20"/>
          <w:szCs w:val="20"/>
        </w:rPr>
        <w:t xml:space="preserve"> for support </w:t>
      </w:r>
      <w:r w:rsidR="00BB1EE9">
        <w:rPr>
          <w:rFonts w:ascii="Segoe UI" w:hAnsi="Segoe UI" w:cs="Segoe UI"/>
          <w:color w:val="0E2841"/>
          <w:sz w:val="20"/>
          <w:szCs w:val="20"/>
        </w:rPr>
        <w:t>or opsmanager@cpsomerset.org</w:t>
      </w:r>
    </w:p>
    <w:p w14:paraId="46749753" w14:textId="1C40303D" w:rsidR="00B340D2" w:rsidRDefault="00E74789" w:rsidP="00FE630D">
      <w:pPr>
        <w:spacing w:line="240" w:lineRule="auto"/>
        <w:rPr>
          <w:rFonts w:ascii="Segoe UI" w:hAnsi="Segoe UI" w:cs="Segoe UI"/>
          <w:noProof/>
          <w:color w:val="0E2841"/>
          <w:sz w:val="20"/>
          <w:szCs w:val="20"/>
        </w:rPr>
      </w:pPr>
      <w:r>
        <w:rPr>
          <w:rFonts w:ascii="Segoe UI" w:hAnsi="Segoe UI" w:cs="Segoe UI"/>
          <w:noProof/>
          <w:color w:val="0E2841"/>
          <w:sz w:val="20"/>
          <w:szCs w:val="20"/>
        </w:rPr>
        <w:t xml:space="preserve">You can access training guides on our website by using this link </w:t>
      </w:r>
      <w:hyperlink r:id="rId12" w:history="1">
        <w:r w:rsidRPr="00E74789">
          <w:rPr>
            <w:rStyle w:val="Hyperlink"/>
            <w:rFonts w:ascii="Segoe UI" w:hAnsi="Segoe UI" w:cs="Segoe UI"/>
            <w:noProof/>
            <w:sz w:val="20"/>
            <w:szCs w:val="20"/>
          </w:rPr>
          <w:t>SDAS (Somerset Drug and Alcohol Service) – Community Pharmacy Somerset</w:t>
        </w:r>
      </w:hyperlink>
    </w:p>
    <w:p w14:paraId="6F091FC1" w14:textId="77777777" w:rsidR="00E74789" w:rsidRDefault="00E74789" w:rsidP="00FE630D">
      <w:pPr>
        <w:spacing w:line="240" w:lineRule="auto"/>
        <w:rPr>
          <w:rFonts w:ascii="Segoe UI" w:hAnsi="Segoe UI" w:cs="Segoe UI"/>
          <w:noProof/>
          <w:color w:val="0E2841"/>
          <w:sz w:val="20"/>
          <w:szCs w:val="20"/>
        </w:rPr>
      </w:pPr>
    </w:p>
    <w:tbl>
      <w:tblPr>
        <w:tblStyle w:val="TableGrid"/>
        <w:tblW w:w="0" w:type="auto"/>
        <w:tblLook w:val="04A0" w:firstRow="1" w:lastRow="0" w:firstColumn="1" w:lastColumn="0" w:noHBand="0" w:noVBand="1"/>
      </w:tblPr>
      <w:tblGrid>
        <w:gridCol w:w="4508"/>
        <w:gridCol w:w="4508"/>
      </w:tblGrid>
      <w:tr w:rsidR="00E74789" w14:paraId="3511DDB6" w14:textId="77777777" w:rsidTr="00E74789">
        <w:tc>
          <w:tcPr>
            <w:tcW w:w="4508" w:type="dxa"/>
          </w:tcPr>
          <w:p w14:paraId="390AF88B" w14:textId="77777777" w:rsidR="00E74789" w:rsidRDefault="00AB61CC" w:rsidP="00FE630D">
            <w:pPr>
              <w:rPr>
                <w:rFonts w:ascii="Segoe UI" w:hAnsi="Segoe UI" w:cs="Segoe UI"/>
                <w:b/>
                <w:bCs/>
                <w:color w:val="0E2841"/>
                <w:sz w:val="20"/>
                <w:szCs w:val="20"/>
              </w:rPr>
            </w:pPr>
            <w:r w:rsidRPr="00AB61CC">
              <w:rPr>
                <w:rFonts w:ascii="Segoe UI" w:hAnsi="Segoe UI" w:cs="Segoe UI"/>
                <w:b/>
                <w:bCs/>
                <w:color w:val="0E2841"/>
                <w:sz w:val="20"/>
                <w:szCs w:val="20"/>
              </w:rPr>
              <w:t>Pharmacist Support</w:t>
            </w:r>
            <w:r w:rsidR="00CF3A5B">
              <w:rPr>
                <w:rFonts w:ascii="Segoe UI" w:hAnsi="Segoe UI" w:cs="Segoe UI"/>
                <w:b/>
                <w:bCs/>
                <w:color w:val="0E2841"/>
                <w:sz w:val="20"/>
                <w:szCs w:val="20"/>
              </w:rPr>
              <w:t xml:space="preserve"> -Accessing Support and Advice</w:t>
            </w:r>
          </w:p>
          <w:p w14:paraId="7D4B639A" w14:textId="1E1F42F2" w:rsidR="00CF3A5B" w:rsidRDefault="00CF3A5B" w:rsidP="00FE630D">
            <w:pPr>
              <w:rPr>
                <w:rFonts w:ascii="Segoe UI" w:hAnsi="Segoe UI" w:cs="Segoe UI"/>
                <w:color w:val="0E2841"/>
                <w:sz w:val="20"/>
                <w:szCs w:val="20"/>
              </w:rPr>
            </w:pPr>
          </w:p>
        </w:tc>
        <w:tc>
          <w:tcPr>
            <w:tcW w:w="4508" w:type="dxa"/>
          </w:tcPr>
          <w:p w14:paraId="5038FB69" w14:textId="77777777" w:rsidR="00E74789" w:rsidRDefault="00E74789" w:rsidP="00FE630D">
            <w:pPr>
              <w:rPr>
                <w:rFonts w:ascii="Segoe UI" w:hAnsi="Segoe UI" w:cs="Segoe UI"/>
                <w:color w:val="0E2841"/>
                <w:sz w:val="20"/>
                <w:szCs w:val="20"/>
              </w:rPr>
            </w:pPr>
          </w:p>
        </w:tc>
      </w:tr>
    </w:tbl>
    <w:p w14:paraId="3AE430AE" w14:textId="1B068FFB" w:rsidR="00E74789" w:rsidRDefault="00E74789" w:rsidP="00FE630D">
      <w:pPr>
        <w:spacing w:line="240" w:lineRule="auto"/>
        <w:rPr>
          <w:rFonts w:ascii="Segoe UI" w:hAnsi="Segoe UI" w:cs="Segoe UI"/>
          <w:color w:val="0E2841"/>
          <w:sz w:val="20"/>
          <w:szCs w:val="20"/>
        </w:rPr>
      </w:pPr>
    </w:p>
    <w:p w14:paraId="00F7734A" w14:textId="77777777" w:rsidR="00AB61CC" w:rsidRPr="00AB61CC" w:rsidRDefault="00FE630D" w:rsidP="00AB61CC">
      <w:pPr>
        <w:spacing w:line="240" w:lineRule="auto"/>
        <w:rPr>
          <w:rFonts w:ascii="Segoe UI" w:hAnsi="Segoe UI" w:cs="Segoe UI"/>
          <w:b/>
          <w:bCs/>
          <w:color w:val="0E2841"/>
          <w:sz w:val="20"/>
          <w:szCs w:val="20"/>
        </w:rPr>
      </w:pPr>
      <w:r w:rsidRPr="00FE630D">
        <w:rPr>
          <w:rFonts w:ascii="Segoe UI" w:hAnsi="Segoe UI" w:cs="Segoe UI"/>
          <w:b/>
          <w:bCs/>
          <w:color w:val="0E2841"/>
          <w:sz w:val="20"/>
          <w:szCs w:val="20"/>
        </w:rPr>
        <w:t> </w:t>
      </w:r>
      <w:hyperlink r:id="rId13" w:history="1">
        <w:r w:rsidR="00AB61CC" w:rsidRPr="00AB61CC">
          <w:rPr>
            <w:rStyle w:val="Hyperlink"/>
            <w:rFonts w:ascii="Segoe UI" w:hAnsi="Segoe UI" w:cs="Segoe UI"/>
            <w:b/>
            <w:bCs/>
            <w:sz w:val="20"/>
            <w:szCs w:val="20"/>
          </w:rPr>
          <w:t>Pharmacist Support</w:t>
        </w:r>
      </w:hyperlink>
      <w:r w:rsidR="00AB61CC" w:rsidRPr="00AB61CC">
        <w:rPr>
          <w:rFonts w:ascii="Segoe UI" w:hAnsi="Segoe UI" w:cs="Segoe UI"/>
          <w:b/>
          <w:bCs/>
          <w:color w:val="0E2841"/>
          <w:sz w:val="20"/>
          <w:szCs w:val="20"/>
        </w:rPr>
        <w:t> </w:t>
      </w:r>
      <w:r w:rsidR="00AB61CC" w:rsidRPr="00BB1EE9">
        <w:rPr>
          <w:rFonts w:ascii="Segoe UI" w:hAnsi="Segoe UI" w:cs="Segoe UI"/>
          <w:color w:val="0E2841"/>
          <w:sz w:val="20"/>
          <w:szCs w:val="20"/>
        </w:rPr>
        <w:t>is an independent and trusted charity supporting pharmacists and their families, former pharmacists, trainee pharmacists and pharmacy students through their wide variety of free and confidential support services.  Pharmacist Support’s vision is for no one in their pharmacy family to face challenging times alone.</w:t>
      </w:r>
    </w:p>
    <w:p w14:paraId="39A92B12" w14:textId="77777777" w:rsidR="00AB61CC" w:rsidRPr="00AB61CC" w:rsidRDefault="00AB61CC" w:rsidP="00AB61CC">
      <w:pPr>
        <w:spacing w:line="240" w:lineRule="auto"/>
        <w:rPr>
          <w:rFonts w:ascii="Segoe UI" w:hAnsi="Segoe UI" w:cs="Segoe UI"/>
          <w:b/>
          <w:bCs/>
          <w:color w:val="0E2841"/>
          <w:sz w:val="20"/>
          <w:szCs w:val="20"/>
        </w:rPr>
      </w:pPr>
      <w:hyperlink r:id="rId14" w:history="1">
        <w:r w:rsidRPr="00AB61CC">
          <w:rPr>
            <w:rStyle w:val="Hyperlink"/>
            <w:rFonts w:ascii="Segoe UI" w:hAnsi="Segoe UI" w:cs="Segoe UI"/>
            <w:b/>
            <w:bCs/>
            <w:sz w:val="20"/>
            <w:szCs w:val="20"/>
          </w:rPr>
          <w:t>‘I need help managing my’</w:t>
        </w:r>
      </w:hyperlink>
      <w:r w:rsidRPr="00AB61CC">
        <w:rPr>
          <w:rFonts w:ascii="Segoe UI" w:hAnsi="Segoe UI" w:cs="Segoe UI"/>
          <w:b/>
          <w:bCs/>
          <w:color w:val="0E2841"/>
          <w:sz w:val="20"/>
          <w:szCs w:val="20"/>
        </w:rPr>
        <w:t> </w:t>
      </w:r>
      <w:r w:rsidRPr="00BB1EE9">
        <w:rPr>
          <w:rFonts w:ascii="Segoe UI" w:hAnsi="Segoe UI" w:cs="Segoe UI"/>
          <w:color w:val="0E2841"/>
          <w:sz w:val="20"/>
          <w:szCs w:val="20"/>
        </w:rPr>
        <w:t>area on the charity’s website, provides information on support for mental health and wellbeing, physical health, family and personal life and finances, right through to managing your work life, trainee and student experience</w:t>
      </w:r>
      <w:r w:rsidRPr="00AB61CC">
        <w:rPr>
          <w:rFonts w:ascii="Segoe UI" w:hAnsi="Segoe UI" w:cs="Segoe UI"/>
          <w:b/>
          <w:bCs/>
          <w:color w:val="0E2841"/>
          <w:sz w:val="20"/>
          <w:szCs w:val="20"/>
        </w:rPr>
        <w:t>.</w:t>
      </w:r>
    </w:p>
    <w:p w14:paraId="7CB7F9D7" w14:textId="4964A00C" w:rsidR="00AB61CC" w:rsidRPr="00BB1EE9" w:rsidRDefault="00AB61CC" w:rsidP="00AB61CC">
      <w:pPr>
        <w:spacing w:line="240" w:lineRule="auto"/>
        <w:rPr>
          <w:rFonts w:ascii="Segoe UI" w:hAnsi="Segoe UI" w:cs="Segoe UI"/>
          <w:color w:val="0E2841"/>
          <w:sz w:val="20"/>
          <w:szCs w:val="20"/>
        </w:rPr>
      </w:pPr>
      <w:r w:rsidRPr="00BB1EE9">
        <w:rPr>
          <w:rFonts w:ascii="Segoe UI" w:hAnsi="Segoe UI" w:cs="Segoe UI"/>
          <w:color w:val="0E2841"/>
          <w:sz w:val="20"/>
          <w:szCs w:val="20"/>
        </w:rPr>
        <w:t xml:space="preserve">Assistance from Pharmacist Support can come in </w:t>
      </w:r>
      <w:r w:rsidR="00BB1EE9" w:rsidRPr="00BB1EE9">
        <w:rPr>
          <w:rFonts w:ascii="Segoe UI" w:hAnsi="Segoe UI" w:cs="Segoe UI"/>
          <w:color w:val="0E2841"/>
          <w:sz w:val="20"/>
          <w:szCs w:val="20"/>
        </w:rPr>
        <w:t>many ways</w:t>
      </w:r>
      <w:r w:rsidRPr="00BB1EE9">
        <w:rPr>
          <w:rFonts w:ascii="Segoe UI" w:hAnsi="Segoe UI" w:cs="Segoe UI"/>
          <w:color w:val="0E2841"/>
          <w:sz w:val="20"/>
          <w:szCs w:val="20"/>
        </w:rPr>
        <w:t xml:space="preserve"> to suit the needs of the individual. When you reach out to the charity for free and confidential support, their friendly team will let you talk through your issue and then guide you through the best way support for you.</w:t>
      </w:r>
    </w:p>
    <w:p w14:paraId="380EF695" w14:textId="77777777" w:rsidR="00AB61CC" w:rsidRPr="00BB1EE9" w:rsidRDefault="00AB61CC" w:rsidP="00AB61CC">
      <w:pPr>
        <w:spacing w:line="240" w:lineRule="auto"/>
        <w:rPr>
          <w:rFonts w:ascii="Segoe UI" w:hAnsi="Segoe UI" w:cs="Segoe UI"/>
          <w:color w:val="0E2841"/>
          <w:sz w:val="20"/>
          <w:szCs w:val="20"/>
        </w:rPr>
      </w:pPr>
      <w:r w:rsidRPr="00AB61CC">
        <w:rPr>
          <w:rFonts w:ascii="Segoe UI" w:hAnsi="Segoe UI" w:cs="Segoe UI"/>
          <w:b/>
          <w:bCs/>
          <w:color w:val="0E2841"/>
          <w:sz w:val="20"/>
          <w:szCs w:val="20"/>
        </w:rPr>
        <w:t>Read </w:t>
      </w:r>
      <w:hyperlink r:id="rId15" w:history="1">
        <w:r w:rsidRPr="00AB61CC">
          <w:rPr>
            <w:rStyle w:val="Hyperlink"/>
            <w:rFonts w:ascii="Segoe UI" w:hAnsi="Segoe UI" w:cs="Segoe UI"/>
            <w:b/>
            <w:bCs/>
            <w:sz w:val="20"/>
            <w:szCs w:val="20"/>
          </w:rPr>
          <w:t>real-life stories</w:t>
        </w:r>
      </w:hyperlink>
      <w:r w:rsidRPr="00AB61CC">
        <w:rPr>
          <w:rFonts w:ascii="Segoe UI" w:hAnsi="Segoe UI" w:cs="Segoe UI"/>
          <w:b/>
          <w:bCs/>
          <w:color w:val="0E2841"/>
          <w:sz w:val="20"/>
          <w:szCs w:val="20"/>
        </w:rPr>
        <w:t> </w:t>
      </w:r>
      <w:r w:rsidRPr="00BB1EE9">
        <w:rPr>
          <w:rFonts w:ascii="Segoe UI" w:hAnsi="Segoe UI" w:cs="Segoe UI"/>
          <w:color w:val="0E2841"/>
          <w:sz w:val="20"/>
          <w:szCs w:val="20"/>
        </w:rPr>
        <w:t>from fellow pharmacy colleagues and peers about how the charity’s services have supported them through difficult times.</w:t>
      </w:r>
    </w:p>
    <w:p w14:paraId="49DC1111" w14:textId="77777777" w:rsidR="00AB61CC" w:rsidRPr="00BB1EE9" w:rsidRDefault="00AB61CC" w:rsidP="00AB61CC">
      <w:pPr>
        <w:spacing w:line="240" w:lineRule="auto"/>
        <w:rPr>
          <w:rFonts w:ascii="Segoe UI" w:hAnsi="Segoe UI" w:cs="Segoe UI"/>
          <w:color w:val="0E2841"/>
          <w:sz w:val="20"/>
          <w:szCs w:val="20"/>
        </w:rPr>
      </w:pPr>
      <w:r w:rsidRPr="00BB1EE9">
        <w:rPr>
          <w:rFonts w:ascii="Segoe UI" w:hAnsi="Segoe UI" w:cs="Segoe UI"/>
          <w:color w:val="0E2841"/>
          <w:sz w:val="20"/>
          <w:szCs w:val="20"/>
        </w:rPr>
        <w:t>There is a whole host of information on the Pharmacist Support website, and you can use the </w:t>
      </w:r>
      <w:hyperlink r:id="rId16" w:history="1">
        <w:r w:rsidRPr="00BB1EE9">
          <w:rPr>
            <w:rStyle w:val="Hyperlink"/>
            <w:rFonts w:ascii="Segoe UI" w:hAnsi="Segoe UI" w:cs="Segoe UI"/>
            <w:sz w:val="20"/>
            <w:szCs w:val="20"/>
          </w:rPr>
          <w:t>contact page</w:t>
        </w:r>
      </w:hyperlink>
      <w:r w:rsidRPr="00BB1EE9">
        <w:rPr>
          <w:rFonts w:ascii="Segoe UI" w:hAnsi="Segoe UI" w:cs="Segoe UI"/>
          <w:color w:val="0E2841"/>
          <w:sz w:val="20"/>
          <w:szCs w:val="20"/>
        </w:rPr>
        <w:t> to ask for any information that you cannot find online.</w:t>
      </w:r>
    </w:p>
    <w:p w14:paraId="44A30EA3" w14:textId="1A879065" w:rsidR="00FE630D" w:rsidRDefault="00FE630D" w:rsidP="00FE630D">
      <w:pPr>
        <w:spacing w:line="240" w:lineRule="auto"/>
        <w:rPr>
          <w:rFonts w:ascii="Segoe UI" w:hAnsi="Segoe UI" w:cs="Segoe UI"/>
          <w:b/>
          <w:bCs/>
          <w:color w:val="0E2841"/>
          <w:sz w:val="20"/>
          <w:szCs w:val="20"/>
        </w:rPr>
      </w:pPr>
    </w:p>
    <w:tbl>
      <w:tblPr>
        <w:tblStyle w:val="TableGrid"/>
        <w:tblW w:w="0" w:type="auto"/>
        <w:tblLook w:val="04A0" w:firstRow="1" w:lastRow="0" w:firstColumn="1" w:lastColumn="0" w:noHBand="0" w:noVBand="1"/>
      </w:tblPr>
      <w:tblGrid>
        <w:gridCol w:w="4508"/>
      </w:tblGrid>
      <w:tr w:rsidR="00AD746F" w14:paraId="1E883F7E" w14:textId="77777777" w:rsidTr="00AB61CC">
        <w:tc>
          <w:tcPr>
            <w:tcW w:w="4508" w:type="dxa"/>
          </w:tcPr>
          <w:p w14:paraId="1D28C6AB" w14:textId="77777777" w:rsidR="00AD746F" w:rsidRPr="00CF3A5B" w:rsidRDefault="00AD746F" w:rsidP="00AB61CC">
            <w:pPr>
              <w:spacing w:after="160"/>
              <w:rPr>
                <w:rFonts w:ascii="Segoe UI" w:hAnsi="Segoe UI" w:cs="Segoe UI"/>
                <w:b/>
                <w:bCs/>
                <w:color w:val="0E2841"/>
                <w:sz w:val="20"/>
                <w:szCs w:val="20"/>
              </w:rPr>
            </w:pPr>
            <w:r w:rsidRPr="00CF3A5B">
              <w:rPr>
                <w:rFonts w:ascii="Segoe UI" w:hAnsi="Segoe UI" w:cs="Segoe UI"/>
                <w:b/>
                <w:bCs/>
                <w:color w:val="0E2841"/>
                <w:sz w:val="20"/>
                <w:szCs w:val="20"/>
              </w:rPr>
              <w:t>Independent Prescribing places are now live to apply for with 2026/27 dates – providers listed here:</w:t>
            </w:r>
          </w:p>
          <w:p w14:paraId="25DE22D1" w14:textId="77777777" w:rsidR="00AD746F" w:rsidRDefault="00AD746F" w:rsidP="00FE630D">
            <w:pPr>
              <w:rPr>
                <w:rFonts w:ascii="Segoe UI" w:hAnsi="Segoe UI" w:cs="Segoe UI"/>
                <w:b/>
                <w:bCs/>
                <w:color w:val="0E2841"/>
                <w:sz w:val="20"/>
                <w:szCs w:val="20"/>
              </w:rPr>
            </w:pPr>
          </w:p>
        </w:tc>
      </w:tr>
    </w:tbl>
    <w:p w14:paraId="6AAD36BF" w14:textId="77777777" w:rsidR="00AB61CC" w:rsidRPr="00FE630D" w:rsidRDefault="00AB61CC" w:rsidP="00FE630D">
      <w:pPr>
        <w:spacing w:line="240" w:lineRule="auto"/>
        <w:rPr>
          <w:rFonts w:ascii="Segoe UI" w:hAnsi="Segoe UI" w:cs="Segoe UI"/>
          <w:b/>
          <w:bCs/>
          <w:color w:val="0E2841"/>
          <w:sz w:val="20"/>
          <w:szCs w:val="20"/>
        </w:rPr>
      </w:pPr>
    </w:p>
    <w:p w14:paraId="6FABF8A6" w14:textId="55F3A26C" w:rsidR="00AD746F" w:rsidRDefault="00FE630D" w:rsidP="00AB61CC">
      <w:pPr>
        <w:spacing w:line="240" w:lineRule="auto"/>
        <w:rPr>
          <w:rFonts w:ascii="Segoe UI" w:hAnsi="Segoe UI" w:cs="Segoe UI"/>
          <w:b/>
          <w:bCs/>
          <w:color w:val="0E2841"/>
          <w:sz w:val="20"/>
          <w:szCs w:val="20"/>
        </w:rPr>
      </w:pPr>
      <w:r w:rsidRPr="00FE630D">
        <w:rPr>
          <w:rFonts w:ascii="Segoe UI" w:hAnsi="Segoe UI" w:cs="Segoe UI"/>
          <w:b/>
          <w:bCs/>
          <w:color w:val="0E2841"/>
          <w:sz w:val="20"/>
          <w:szCs w:val="20"/>
        </w:rPr>
        <w:t> </w:t>
      </w:r>
      <w:r w:rsidR="00AB61CC" w:rsidRPr="00AB61CC">
        <w:rPr>
          <w:rFonts w:ascii="Segoe UI" w:hAnsi="Segoe UI" w:cs="Segoe UI"/>
          <w:b/>
          <w:bCs/>
          <w:color w:val="0E2841"/>
          <w:sz w:val="20"/>
          <w:szCs w:val="20"/>
        </w:rPr>
        <w:t xml:space="preserve">Independent Prescribing places are now live to apply for with 2026/27 dates </w:t>
      </w:r>
    </w:p>
    <w:p w14:paraId="142E90F5" w14:textId="77777777" w:rsidR="00AD746F" w:rsidRPr="00AD746F" w:rsidRDefault="00AD746F" w:rsidP="00AD746F">
      <w:pPr>
        <w:spacing w:line="240" w:lineRule="auto"/>
        <w:rPr>
          <w:rFonts w:ascii="Segoe UI" w:hAnsi="Segoe UI" w:cs="Segoe UI"/>
          <w:b/>
          <w:bCs/>
          <w:color w:val="0E2841"/>
          <w:sz w:val="20"/>
          <w:szCs w:val="20"/>
        </w:rPr>
      </w:pPr>
      <w:r w:rsidRPr="00AD746F">
        <w:rPr>
          <w:rFonts w:ascii="Segoe UI" w:hAnsi="Segoe UI" w:cs="Segoe UI"/>
          <w:b/>
          <w:bCs/>
          <w:color w:val="0E2841"/>
          <w:sz w:val="20"/>
          <w:szCs w:val="20"/>
        </w:rPr>
        <w:t>This is for:</w:t>
      </w:r>
      <w:r>
        <w:rPr>
          <w:rFonts w:ascii="Segoe UI" w:hAnsi="Segoe UI" w:cs="Segoe UI"/>
          <w:b/>
          <w:bCs/>
          <w:color w:val="0E2841"/>
          <w:sz w:val="20"/>
          <w:szCs w:val="20"/>
        </w:rPr>
        <w:t xml:space="preserve"> </w:t>
      </w:r>
      <w:r w:rsidRPr="00AD746F">
        <w:rPr>
          <w:rFonts w:ascii="Segoe UI" w:hAnsi="Segoe UI" w:cs="Segoe UI"/>
          <w:b/>
          <w:bCs/>
          <w:color w:val="0E2841"/>
          <w:sz w:val="20"/>
          <w:szCs w:val="20"/>
        </w:rPr>
        <w:t>Community Pharmacists, Pharmacists in GP and Health and Justice Pharmacists</w:t>
      </w:r>
    </w:p>
    <w:p w14:paraId="390912EB" w14:textId="30BB7E66" w:rsidR="00AD746F" w:rsidRPr="00BB1EE9" w:rsidRDefault="00AD746F" w:rsidP="00AD746F">
      <w:pPr>
        <w:pStyle w:val="ListParagraph"/>
        <w:numPr>
          <w:ilvl w:val="0"/>
          <w:numId w:val="2"/>
        </w:numPr>
        <w:spacing w:line="240" w:lineRule="auto"/>
        <w:rPr>
          <w:rFonts w:ascii="Segoe UI" w:hAnsi="Segoe UI" w:cs="Segoe UI"/>
          <w:color w:val="0E2841"/>
          <w:sz w:val="20"/>
          <w:szCs w:val="20"/>
        </w:rPr>
      </w:pPr>
      <w:r w:rsidRPr="00BB1EE9">
        <w:rPr>
          <w:rFonts w:ascii="Segoe UI" w:hAnsi="Segoe UI" w:cs="Segoe UI"/>
          <w:color w:val="0E2841"/>
          <w:sz w:val="20"/>
          <w:szCs w:val="20"/>
        </w:rPr>
        <w:t>Community pharmacists (including locum pharmacists)</w:t>
      </w:r>
    </w:p>
    <w:p w14:paraId="2C27A5DA" w14:textId="77777777" w:rsidR="00AD746F" w:rsidRPr="00BB1EE9" w:rsidRDefault="00AD746F" w:rsidP="00AD746F">
      <w:pPr>
        <w:numPr>
          <w:ilvl w:val="0"/>
          <w:numId w:val="2"/>
        </w:numPr>
        <w:spacing w:line="240" w:lineRule="auto"/>
        <w:rPr>
          <w:rFonts w:ascii="Segoe UI" w:hAnsi="Segoe UI" w:cs="Segoe UI"/>
          <w:color w:val="0E2841"/>
          <w:sz w:val="20"/>
          <w:szCs w:val="20"/>
        </w:rPr>
      </w:pPr>
      <w:r w:rsidRPr="00BB1EE9">
        <w:rPr>
          <w:rFonts w:ascii="Segoe UI" w:hAnsi="Segoe UI" w:cs="Segoe UI"/>
          <w:color w:val="0E2841"/>
          <w:sz w:val="20"/>
          <w:szCs w:val="20"/>
        </w:rPr>
        <w:t>Pharmacists employed in General Practice (who are not eligible for, or enrolled on, the CPPE Primary Care Pharmacy Education Pathway) and those who are working to provide primary care services (for example, working in primary care) who are not employed in ARRS roles, and Health and Justice pharmacists</w:t>
      </w:r>
    </w:p>
    <w:p w14:paraId="4D71DE52" w14:textId="77777777" w:rsidR="00AD746F" w:rsidRPr="00BB1EE9" w:rsidRDefault="00AD746F" w:rsidP="00AD746F">
      <w:pPr>
        <w:pStyle w:val="ListParagraph"/>
        <w:numPr>
          <w:ilvl w:val="0"/>
          <w:numId w:val="2"/>
        </w:numPr>
        <w:suppressAutoHyphens w:val="0"/>
        <w:autoSpaceDN/>
        <w:spacing w:before="100" w:beforeAutospacing="1" w:after="100" w:afterAutospacing="1" w:line="240" w:lineRule="auto"/>
        <w:rPr>
          <w:rFonts w:ascii="Segoe UI" w:eastAsia="Times New Roman" w:hAnsi="Segoe UI" w:cs="Segoe UI"/>
          <w:color w:val="222222"/>
          <w:kern w:val="0"/>
          <w:sz w:val="20"/>
          <w:szCs w:val="20"/>
          <w:lang w:eastAsia="en-GB"/>
        </w:rPr>
      </w:pPr>
      <w:r w:rsidRPr="00BB1EE9">
        <w:rPr>
          <w:rFonts w:ascii="Segoe UI" w:eastAsia="Times New Roman" w:hAnsi="Segoe UI" w:cs="Segoe UI"/>
          <w:color w:val="222222"/>
          <w:kern w:val="0"/>
          <w:sz w:val="20"/>
          <w:szCs w:val="20"/>
          <w:lang w:eastAsia="en-GB"/>
        </w:rPr>
        <w:t>Pharmacists must be working in England.</w:t>
      </w:r>
    </w:p>
    <w:p w14:paraId="55B0EA92" w14:textId="54121D1C" w:rsidR="00AD746F" w:rsidRPr="00BB1EE9" w:rsidRDefault="00AD746F" w:rsidP="00AD746F">
      <w:pPr>
        <w:pStyle w:val="ListParagraph"/>
        <w:numPr>
          <w:ilvl w:val="0"/>
          <w:numId w:val="2"/>
        </w:numPr>
        <w:suppressAutoHyphens w:val="0"/>
        <w:autoSpaceDN/>
        <w:spacing w:before="100" w:beforeAutospacing="1" w:after="100" w:afterAutospacing="1" w:line="240" w:lineRule="auto"/>
        <w:rPr>
          <w:rFonts w:ascii="Segoe UI" w:eastAsia="Times New Roman" w:hAnsi="Segoe UI" w:cs="Segoe UI"/>
          <w:color w:val="222222"/>
          <w:kern w:val="0"/>
          <w:sz w:val="20"/>
          <w:szCs w:val="20"/>
          <w:lang w:eastAsia="en-GB"/>
        </w:rPr>
      </w:pPr>
      <w:r w:rsidRPr="00BB1EE9">
        <w:rPr>
          <w:rFonts w:ascii="Segoe UI" w:eastAsia="Times New Roman" w:hAnsi="Segoe UI" w:cs="Segoe UI"/>
          <w:color w:val="222222"/>
          <w:kern w:val="0"/>
          <w:sz w:val="20"/>
          <w:szCs w:val="20"/>
          <w:lang w:eastAsia="en-GB"/>
        </w:rPr>
        <w:t>This training is available for Pharmacists working in multiple sectors including:</w:t>
      </w:r>
    </w:p>
    <w:p w14:paraId="3F950745" w14:textId="77777777" w:rsidR="00AD746F" w:rsidRPr="00BB1EE9" w:rsidRDefault="00AD746F" w:rsidP="00AB61CC">
      <w:pPr>
        <w:pStyle w:val="ListParagraph"/>
        <w:numPr>
          <w:ilvl w:val="0"/>
          <w:numId w:val="2"/>
        </w:numPr>
        <w:suppressAutoHyphens w:val="0"/>
        <w:autoSpaceDN/>
        <w:spacing w:before="100" w:beforeAutospacing="1" w:after="100" w:afterAutospacing="1" w:line="240" w:lineRule="auto"/>
        <w:rPr>
          <w:rFonts w:ascii="Segoe UI" w:eastAsia="Times New Roman" w:hAnsi="Segoe UI" w:cs="Segoe UI"/>
          <w:color w:val="222222"/>
          <w:kern w:val="0"/>
          <w:sz w:val="20"/>
          <w:szCs w:val="20"/>
          <w:lang w:eastAsia="en-GB"/>
        </w:rPr>
      </w:pPr>
      <w:r w:rsidRPr="00BB1EE9">
        <w:rPr>
          <w:rFonts w:ascii="Segoe UI" w:eastAsia="Times New Roman" w:hAnsi="Segoe UI" w:cs="Segoe UI"/>
          <w:color w:val="222222"/>
          <w:kern w:val="0"/>
          <w:sz w:val="20"/>
          <w:szCs w:val="20"/>
          <w:lang w:eastAsia="en-GB"/>
        </w:rPr>
        <w:lastRenderedPageBreak/>
        <w:t>Cohort start dates and mode of delivery vary, so select the university that matches your preferences. As part of the application process, all learners will need to assure their chosen university that they meet the course requirements.</w:t>
      </w:r>
    </w:p>
    <w:p w14:paraId="5A3BBA87" w14:textId="6373CE19" w:rsidR="00BB1EE9" w:rsidRPr="00BB1EE9" w:rsidRDefault="00AD746F" w:rsidP="00BB1EE9">
      <w:pPr>
        <w:pStyle w:val="ListParagraph"/>
        <w:numPr>
          <w:ilvl w:val="0"/>
          <w:numId w:val="2"/>
        </w:numPr>
        <w:suppressAutoHyphens w:val="0"/>
        <w:autoSpaceDN/>
        <w:spacing w:before="100" w:beforeAutospacing="1" w:after="100" w:afterAutospacing="1" w:line="240" w:lineRule="auto"/>
        <w:rPr>
          <w:rFonts w:ascii="Arial" w:eastAsia="Times New Roman" w:hAnsi="Arial" w:cs="Arial"/>
          <w:color w:val="222222"/>
          <w:kern w:val="0"/>
          <w:lang w:eastAsia="en-GB"/>
        </w:rPr>
      </w:pPr>
      <w:r w:rsidRPr="00BB1EE9">
        <w:rPr>
          <w:rFonts w:ascii="Segoe UI" w:hAnsi="Segoe UI" w:cs="Segoe UI"/>
          <w:color w:val="0E2841"/>
          <w:sz w:val="20"/>
          <w:szCs w:val="20"/>
        </w:rPr>
        <w:t>Pharmacists who meet the eligibility criteria can apply to the university of their choice if the university provider is listed below.</w:t>
      </w:r>
    </w:p>
    <w:p w14:paraId="60910667" w14:textId="39C39CB6" w:rsidR="00CF3A5B" w:rsidRPr="00BB1EE9" w:rsidRDefault="00CF3A5B" w:rsidP="00BB1EE9">
      <w:pPr>
        <w:suppressAutoHyphens w:val="0"/>
        <w:autoSpaceDN/>
        <w:spacing w:before="100" w:beforeAutospacing="1" w:after="100" w:afterAutospacing="1" w:line="240" w:lineRule="auto"/>
        <w:rPr>
          <w:rFonts w:ascii="Arial" w:eastAsia="Times New Roman" w:hAnsi="Arial" w:cs="Arial"/>
          <w:b/>
          <w:bCs/>
          <w:color w:val="222222"/>
          <w:kern w:val="0"/>
          <w:lang w:eastAsia="en-GB"/>
        </w:rPr>
      </w:pPr>
      <w:r w:rsidRPr="00BB1EE9">
        <w:rPr>
          <w:rFonts w:ascii="Segoe UI" w:hAnsi="Segoe UI" w:cs="Segoe UI"/>
          <w:b/>
          <w:bCs/>
          <w:color w:val="0E2841"/>
          <w:sz w:val="20"/>
          <w:szCs w:val="20"/>
        </w:rPr>
        <w:t xml:space="preserve">Pharmacists who meet the eligibility criteria and need support with </w:t>
      </w:r>
      <w:r w:rsidR="00BB1EE9" w:rsidRPr="00BB1EE9">
        <w:rPr>
          <w:rFonts w:ascii="Segoe UI" w:hAnsi="Segoe UI" w:cs="Segoe UI"/>
          <w:b/>
          <w:bCs/>
          <w:color w:val="0E2841"/>
          <w:sz w:val="20"/>
          <w:szCs w:val="20"/>
        </w:rPr>
        <w:t>sourcing DPP/DSP should contact opsmanager@cpsomerset.org</w:t>
      </w:r>
    </w:p>
    <w:p w14:paraId="5B3F4997" w14:textId="35F71DAA" w:rsidR="00AB61CC" w:rsidRPr="00AB61CC" w:rsidRDefault="00AB61CC" w:rsidP="00AB61CC">
      <w:pPr>
        <w:spacing w:line="240" w:lineRule="auto"/>
        <w:rPr>
          <w:rFonts w:ascii="Segoe UI" w:hAnsi="Segoe UI" w:cs="Segoe UI"/>
          <w:b/>
          <w:bCs/>
          <w:color w:val="0E2841"/>
          <w:sz w:val="20"/>
          <w:szCs w:val="20"/>
        </w:rPr>
      </w:pPr>
      <w:r w:rsidRPr="00AB61CC">
        <w:rPr>
          <w:rFonts w:ascii="Segoe UI" w:hAnsi="Segoe UI" w:cs="Segoe UI"/>
          <w:b/>
          <w:bCs/>
          <w:color w:val="0E2841"/>
          <w:sz w:val="20"/>
          <w:szCs w:val="20"/>
        </w:rPr>
        <w:t> </w:t>
      </w:r>
      <w:hyperlink r:id="rId17" w:history="1">
        <w:r w:rsidR="00AD746F" w:rsidRPr="00AB61CC">
          <w:rPr>
            <w:rStyle w:val="Hyperlink"/>
            <w:rFonts w:ascii="Segoe UI" w:hAnsi="Segoe UI" w:cs="Segoe UI"/>
            <w:b/>
            <w:bCs/>
            <w:sz w:val="20"/>
            <w:szCs w:val="20"/>
          </w:rPr>
          <w:t>https://www.hee.nhs.uk/our-work/pharmacy/independent-prescribing/approved-suppliers-list-national-provision</w:t>
        </w:r>
      </w:hyperlink>
    </w:p>
    <w:p w14:paraId="62CD4EE1" w14:textId="77777777" w:rsidR="00C93075" w:rsidRDefault="00C93075">
      <w:pPr>
        <w:spacing w:line="240" w:lineRule="auto"/>
        <w:rPr>
          <w:rFonts w:ascii="Segoe UI" w:hAnsi="Segoe UI" w:cs="Segoe UI"/>
          <w:b/>
          <w:bCs/>
          <w:color w:val="0E2841"/>
          <w:sz w:val="20"/>
          <w:szCs w:val="20"/>
        </w:rPr>
      </w:pPr>
    </w:p>
    <w:p w14:paraId="62CD4EE8" w14:textId="77777777" w:rsidR="00C93075" w:rsidRDefault="00C93075">
      <w:pPr>
        <w:spacing w:line="240" w:lineRule="auto"/>
        <w:rPr>
          <w:rFonts w:ascii="Segoe UI" w:hAnsi="Segoe UI" w:cs="Segoe UI"/>
          <w:b/>
          <w:bCs/>
          <w:color w:val="0E2841"/>
          <w:sz w:val="20"/>
          <w:szCs w:val="20"/>
        </w:rPr>
      </w:pPr>
    </w:p>
    <w:p w14:paraId="62CD4EEF" w14:textId="425B0184" w:rsidR="00C93075" w:rsidRDefault="00C93075">
      <w:pPr>
        <w:spacing w:line="240" w:lineRule="auto"/>
      </w:pPr>
    </w:p>
    <w:sectPr w:rsidR="00C93075">
      <w:pgSz w:w="11906" w:h="16838"/>
      <w:pgMar w:top="1440" w:right="1440" w:bottom="1440" w:left="1440" w:header="720" w:footer="720" w:gutter="0"/>
      <w:pgBorders w:offsetFrom="page">
        <w:top w:val="single" w:sz="48" w:space="24" w:color="4C94D8"/>
        <w:left w:val="single" w:sz="48" w:space="24" w:color="4C94D8"/>
        <w:bottom w:val="single" w:sz="48" w:space="24" w:color="4C94D8"/>
        <w:right w:val="single" w:sz="48" w:space="24" w:color="4C94D8"/>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99A82" w14:textId="77777777" w:rsidR="00170421" w:rsidRDefault="00170421">
      <w:pPr>
        <w:spacing w:after="0" w:line="240" w:lineRule="auto"/>
      </w:pPr>
      <w:r>
        <w:separator/>
      </w:r>
    </w:p>
  </w:endnote>
  <w:endnote w:type="continuationSeparator" w:id="0">
    <w:p w14:paraId="084ED0CC" w14:textId="77777777" w:rsidR="00170421" w:rsidRDefault="00170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8E8F5" w14:textId="77777777" w:rsidR="00170421" w:rsidRDefault="00170421">
      <w:pPr>
        <w:spacing w:after="0" w:line="240" w:lineRule="auto"/>
      </w:pPr>
      <w:r>
        <w:rPr>
          <w:color w:val="000000"/>
        </w:rPr>
        <w:separator/>
      </w:r>
    </w:p>
  </w:footnote>
  <w:footnote w:type="continuationSeparator" w:id="0">
    <w:p w14:paraId="63443810" w14:textId="77777777" w:rsidR="00170421" w:rsidRDefault="001704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27830"/>
    <w:multiLevelType w:val="multilevel"/>
    <w:tmpl w:val="439AB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93222E"/>
    <w:multiLevelType w:val="multilevel"/>
    <w:tmpl w:val="F26A6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1061921">
    <w:abstractNumId w:val="0"/>
  </w:num>
  <w:num w:numId="2" w16cid:durableId="1403479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075"/>
    <w:rsid w:val="00044C7B"/>
    <w:rsid w:val="00071387"/>
    <w:rsid w:val="00170421"/>
    <w:rsid w:val="002E7D8C"/>
    <w:rsid w:val="00310963"/>
    <w:rsid w:val="00422031"/>
    <w:rsid w:val="004655F1"/>
    <w:rsid w:val="00531FCA"/>
    <w:rsid w:val="005D7461"/>
    <w:rsid w:val="005E269E"/>
    <w:rsid w:val="008B330A"/>
    <w:rsid w:val="008F2643"/>
    <w:rsid w:val="009873B7"/>
    <w:rsid w:val="00AB61CC"/>
    <w:rsid w:val="00AD746F"/>
    <w:rsid w:val="00B340D2"/>
    <w:rsid w:val="00B37ABD"/>
    <w:rsid w:val="00BB1EE9"/>
    <w:rsid w:val="00C03BB2"/>
    <w:rsid w:val="00C17F04"/>
    <w:rsid w:val="00C93075"/>
    <w:rsid w:val="00CF3A5B"/>
    <w:rsid w:val="00DA5510"/>
    <w:rsid w:val="00DB3485"/>
    <w:rsid w:val="00E74789"/>
    <w:rsid w:val="00F60570"/>
    <w:rsid w:val="00F90498"/>
    <w:rsid w:val="00FE63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D4EBE"/>
  <w15:docId w15:val="{A1C2C33F-999E-4664-AF0D-ED7FBB9F8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styleId="Hyperlink">
    <w:name w:val="Hyperlink"/>
    <w:basedOn w:val="DefaultParagraphFont"/>
    <w:uiPriority w:val="99"/>
    <w:unhideWhenUsed/>
    <w:rsid w:val="00FE630D"/>
    <w:rPr>
      <w:color w:val="467886" w:themeColor="hyperlink"/>
      <w:u w:val="single"/>
    </w:rPr>
  </w:style>
  <w:style w:type="character" w:styleId="UnresolvedMention">
    <w:name w:val="Unresolved Mention"/>
    <w:basedOn w:val="DefaultParagraphFont"/>
    <w:uiPriority w:val="99"/>
    <w:semiHidden/>
    <w:unhideWhenUsed/>
    <w:rsid w:val="00FE630D"/>
    <w:rPr>
      <w:color w:val="605E5C"/>
      <w:shd w:val="clear" w:color="auto" w:fill="E1DFDD"/>
    </w:rPr>
  </w:style>
  <w:style w:type="table" w:styleId="TableGrid">
    <w:name w:val="Table Grid"/>
    <w:basedOn w:val="TableNormal"/>
    <w:uiPriority w:val="39"/>
    <w:rsid w:val="00E74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B61CC"/>
    <w:rPr>
      <w:rFonts w:ascii="Times New Roman" w:hAnsi="Times New Roman"/>
    </w:rPr>
  </w:style>
  <w:style w:type="character" w:styleId="FollowedHyperlink">
    <w:name w:val="FollowedHyperlink"/>
    <w:basedOn w:val="DefaultParagraphFont"/>
    <w:uiPriority w:val="99"/>
    <w:semiHidden/>
    <w:unhideWhenUsed/>
    <w:rsid w:val="00AD746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ortal.e-lfh.org.uk/Component/Details/675208" TargetMode="External"/><Relationship Id="rId13" Type="http://schemas.openxmlformats.org/officeDocument/2006/relationships/hyperlink" Target="https://pharmacistsupport.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omerset.communitypharmacy.org.uk/sdas-2/" TargetMode="External"/><Relationship Id="rId17" Type="http://schemas.openxmlformats.org/officeDocument/2006/relationships/hyperlink" Target="https://www.hee.nhs.uk/our-work/pharmacy/independent-prescribing/approved-suppliers-list-national-provision" TargetMode="External"/><Relationship Id="rId2" Type="http://schemas.openxmlformats.org/officeDocument/2006/relationships/styles" Target="styles.xml"/><Relationship Id="rId16" Type="http://schemas.openxmlformats.org/officeDocument/2006/relationships/hyperlink" Target="https://pharmacistsupport.org/about-us/contact-u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harmacy@turning-point.co.uk" TargetMode="External"/><Relationship Id="rId5" Type="http://schemas.openxmlformats.org/officeDocument/2006/relationships/footnotes" Target="footnotes.xml"/><Relationship Id="rId15" Type="http://schemas.openxmlformats.org/officeDocument/2006/relationships/hyperlink" Target="https://pharmacistsupport.org/how-we-can-help/how-weve-helped-others/" TargetMode="External"/><Relationship Id="rId10" Type="http://schemas.openxmlformats.org/officeDocument/2006/relationships/hyperlink" Target="https://portal.e-lfh.org.uk/Catalogue/Index?HierarchyId=0_33514&amp;programmeId=3351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ortal.e-lfh.org.uk/Catalogue/Index?HierarchyId=0_33514&amp;programmeId=33514" TargetMode="External"/><Relationship Id="rId14" Type="http://schemas.openxmlformats.org/officeDocument/2006/relationships/hyperlink" Target="https://pharmacistsupport.org/i-need-help-managing-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884</Words>
  <Characters>5044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Allen</dc:creator>
  <dc:description/>
  <cp:lastModifiedBy>Yvonne Lamb</cp:lastModifiedBy>
  <cp:revision>4</cp:revision>
  <dcterms:created xsi:type="dcterms:W3CDTF">2026-04-21T08:13:00Z</dcterms:created>
  <dcterms:modified xsi:type="dcterms:W3CDTF">2026-04-21T10:51:00Z</dcterms:modified>
</cp:coreProperties>
</file>